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3D6" w:rsidRPr="001229E6" w:rsidRDefault="00C723D6" w:rsidP="00C723D6">
      <w:pPr>
        <w:rPr>
          <w:rStyle w:val="a7"/>
          <w:i w:val="0"/>
          <w:color w:val="auto"/>
          <w:sz w:val="32"/>
          <w:szCs w:val="32"/>
        </w:rPr>
      </w:pPr>
    </w:p>
    <w:p w:rsidR="00C723D6" w:rsidRPr="001229E6" w:rsidRDefault="00C723D6" w:rsidP="00C723D6">
      <w:pPr>
        <w:jc w:val="center"/>
        <w:rPr>
          <w:rStyle w:val="a7"/>
          <w:rFonts w:ascii="宋体" w:hAnsi="宋体"/>
          <w:b/>
          <w:i w:val="0"/>
          <w:color w:val="auto"/>
          <w:sz w:val="44"/>
          <w:szCs w:val="44"/>
        </w:rPr>
      </w:pPr>
      <w:r w:rsidRPr="001229E6">
        <w:rPr>
          <w:rStyle w:val="a7"/>
          <w:rFonts w:ascii="宋体" w:hAnsi="宋体" w:hint="eastAsia"/>
          <w:b/>
          <w:i w:val="0"/>
          <w:color w:val="auto"/>
          <w:sz w:val="44"/>
          <w:szCs w:val="44"/>
        </w:rPr>
        <w:t>山西省土地估价师与土地登记代理人协会</w:t>
      </w:r>
    </w:p>
    <w:p w:rsidR="00C723D6" w:rsidRPr="001229E6" w:rsidRDefault="00C723D6" w:rsidP="00C723D6">
      <w:pPr>
        <w:jc w:val="center"/>
        <w:rPr>
          <w:rStyle w:val="a7"/>
          <w:rFonts w:ascii="宋体" w:hAnsi="宋体"/>
          <w:b/>
          <w:i w:val="0"/>
          <w:color w:val="auto"/>
          <w:sz w:val="44"/>
          <w:szCs w:val="44"/>
        </w:rPr>
      </w:pPr>
      <w:r w:rsidRPr="001229E6">
        <w:rPr>
          <w:rStyle w:val="a7"/>
          <w:rFonts w:ascii="宋体" w:hAnsi="宋体" w:hint="eastAsia"/>
          <w:b/>
          <w:i w:val="0"/>
          <w:color w:val="auto"/>
          <w:sz w:val="44"/>
          <w:szCs w:val="44"/>
        </w:rPr>
        <w:t>2024年工作要点</w:t>
      </w:r>
    </w:p>
    <w:p w:rsidR="00C723D6" w:rsidRDefault="00C723D6" w:rsidP="00C723D6">
      <w:pPr>
        <w:ind w:firstLineChars="200" w:firstLine="640"/>
        <w:rPr>
          <w:rStyle w:val="a7"/>
          <w:i w:val="0"/>
          <w:color w:val="auto"/>
          <w:sz w:val="32"/>
          <w:szCs w:val="32"/>
        </w:rPr>
      </w:pPr>
    </w:p>
    <w:p w:rsidR="006D45D7" w:rsidRPr="001229E6" w:rsidRDefault="006D45D7" w:rsidP="00C723D6">
      <w:pPr>
        <w:ind w:firstLineChars="200" w:firstLine="640"/>
        <w:rPr>
          <w:rStyle w:val="a7"/>
          <w:rFonts w:hint="eastAsia"/>
          <w:i w:val="0"/>
          <w:color w:val="auto"/>
          <w:sz w:val="32"/>
          <w:szCs w:val="32"/>
        </w:rPr>
      </w:pPr>
      <w:bookmarkStart w:id="0" w:name="_GoBack"/>
      <w:bookmarkEnd w:id="0"/>
    </w:p>
    <w:p w:rsidR="00C723D6" w:rsidRPr="001229E6" w:rsidRDefault="00C723D6" w:rsidP="00C723D6">
      <w:pPr>
        <w:ind w:firstLineChars="200" w:firstLine="643"/>
        <w:rPr>
          <w:rStyle w:val="a7"/>
          <w:rFonts w:ascii="仿宋" w:eastAsia="仿宋" w:hAnsi="仿宋"/>
          <w:b/>
          <w:i w:val="0"/>
          <w:color w:val="auto"/>
          <w:sz w:val="32"/>
          <w:szCs w:val="32"/>
        </w:rPr>
      </w:pPr>
      <w:r w:rsidRPr="001229E6">
        <w:rPr>
          <w:rStyle w:val="a7"/>
          <w:rFonts w:ascii="仿宋" w:eastAsia="仿宋" w:hAnsi="仿宋" w:hint="eastAsia"/>
          <w:b/>
          <w:i w:val="0"/>
          <w:color w:val="auto"/>
          <w:sz w:val="32"/>
          <w:szCs w:val="32"/>
        </w:rPr>
        <w:t>一、总体思路</w:t>
      </w:r>
    </w:p>
    <w:p w:rsidR="00C723D6" w:rsidRPr="001229E6" w:rsidRDefault="00C723D6" w:rsidP="00C723D6">
      <w:pPr>
        <w:ind w:firstLineChars="200" w:firstLine="640"/>
        <w:rPr>
          <w:rStyle w:val="a7"/>
          <w:rFonts w:ascii="仿宋" w:eastAsia="仿宋" w:hAnsi="仿宋"/>
          <w:i w:val="0"/>
          <w:color w:val="auto"/>
          <w:sz w:val="32"/>
          <w:szCs w:val="32"/>
        </w:rPr>
      </w:pPr>
      <w:r w:rsidRPr="001229E6">
        <w:rPr>
          <w:rStyle w:val="a7"/>
          <w:rFonts w:ascii="仿宋" w:eastAsia="仿宋" w:hAnsi="仿宋" w:hint="eastAsia"/>
          <w:i w:val="0"/>
          <w:color w:val="auto"/>
          <w:sz w:val="32"/>
          <w:szCs w:val="32"/>
        </w:rPr>
        <w:t>2024年以习近平新时代中国特色社会主义思想为指导，深入贯彻领会习近平生态文明建设理论体系，围绕省厅2024年自然资源资产评估、评价中心工作，以服务会员，服务经济发展，服务政府行政部门为宗旨，依据《资产评估法》及省协会《章程》规定的业务范围，积极主动开展服务、交流、研究、培训、调研、考察等工作，补充完善自然资源评估的知识架构，不断提升拓展新业务的能力及知识储备，提高协会领导执行力，促进我省土地评估机构执业向多元化、集约化方向发展。</w:t>
      </w:r>
    </w:p>
    <w:p w:rsidR="00C723D6" w:rsidRPr="001229E6" w:rsidRDefault="00C723D6" w:rsidP="00C723D6">
      <w:pPr>
        <w:ind w:firstLineChars="200" w:firstLine="643"/>
        <w:rPr>
          <w:rStyle w:val="a7"/>
          <w:rFonts w:ascii="仿宋" w:eastAsia="仿宋" w:hAnsi="仿宋"/>
          <w:b/>
          <w:i w:val="0"/>
          <w:color w:val="auto"/>
          <w:sz w:val="32"/>
          <w:szCs w:val="32"/>
        </w:rPr>
      </w:pPr>
      <w:r w:rsidRPr="001229E6">
        <w:rPr>
          <w:rStyle w:val="a7"/>
          <w:rFonts w:ascii="仿宋" w:eastAsia="仿宋" w:hAnsi="仿宋" w:hint="eastAsia"/>
          <w:b/>
          <w:i w:val="0"/>
          <w:color w:val="auto"/>
          <w:sz w:val="32"/>
          <w:szCs w:val="32"/>
        </w:rPr>
        <w:t>二、工作要点</w:t>
      </w:r>
    </w:p>
    <w:p w:rsidR="00C723D6" w:rsidRPr="001229E6" w:rsidRDefault="00C723D6" w:rsidP="00C723D6">
      <w:pPr>
        <w:ind w:firstLineChars="200" w:firstLine="640"/>
        <w:rPr>
          <w:rStyle w:val="a7"/>
          <w:rFonts w:ascii="仿宋" w:eastAsia="仿宋" w:hAnsi="仿宋"/>
          <w:i w:val="0"/>
          <w:color w:val="auto"/>
          <w:sz w:val="32"/>
          <w:szCs w:val="32"/>
        </w:rPr>
      </w:pPr>
      <w:r w:rsidRPr="001229E6">
        <w:rPr>
          <w:rStyle w:val="a7"/>
          <w:rFonts w:ascii="仿宋" w:eastAsia="仿宋" w:hAnsi="仿宋" w:hint="eastAsia"/>
          <w:i w:val="0"/>
          <w:color w:val="auto"/>
          <w:sz w:val="32"/>
          <w:szCs w:val="32"/>
        </w:rPr>
        <w:t>1、继续开展学习习近平总书记系列讲话和党的二十大会议精神，以党建统领协会工作，不断提高政治判断力、领悟力和执行力，不忘初心、牢记使命，保持党建工作全覆盖。适时组织省协会党支部赴本省或外省红色教育基地开展1—</w:t>
      </w:r>
      <w:r w:rsidRPr="001229E6">
        <w:rPr>
          <w:rStyle w:val="a7"/>
          <w:rFonts w:ascii="仿宋" w:eastAsia="仿宋" w:hAnsi="仿宋"/>
          <w:i w:val="0"/>
          <w:color w:val="auto"/>
          <w:sz w:val="32"/>
          <w:szCs w:val="32"/>
        </w:rPr>
        <w:t>2</w:t>
      </w:r>
      <w:r w:rsidRPr="001229E6">
        <w:rPr>
          <w:rStyle w:val="a7"/>
          <w:rFonts w:ascii="仿宋" w:eastAsia="仿宋" w:hAnsi="仿宋" w:hint="eastAsia"/>
          <w:i w:val="0"/>
          <w:color w:val="auto"/>
          <w:sz w:val="32"/>
          <w:szCs w:val="32"/>
        </w:rPr>
        <w:t>次红色教育。</w:t>
      </w:r>
    </w:p>
    <w:p w:rsidR="00C723D6" w:rsidRPr="001229E6" w:rsidRDefault="00C723D6" w:rsidP="00C723D6">
      <w:pPr>
        <w:spacing w:line="600" w:lineRule="exact"/>
        <w:ind w:firstLineChars="200" w:firstLine="640"/>
        <w:rPr>
          <w:rStyle w:val="a7"/>
          <w:rFonts w:ascii="仿宋" w:eastAsia="仿宋" w:hAnsi="仿宋"/>
          <w:i w:val="0"/>
          <w:color w:val="auto"/>
          <w:sz w:val="32"/>
          <w:szCs w:val="32"/>
        </w:rPr>
      </w:pPr>
      <w:r w:rsidRPr="001229E6">
        <w:rPr>
          <w:rStyle w:val="a7"/>
          <w:rFonts w:ascii="仿宋" w:eastAsia="仿宋" w:hAnsi="仿宋" w:hint="eastAsia"/>
          <w:i w:val="0"/>
          <w:color w:val="auto"/>
          <w:sz w:val="32"/>
          <w:szCs w:val="32"/>
        </w:rPr>
        <w:t>2、配合省自然资源厅做好2024年房地产估价师职业资</w:t>
      </w:r>
      <w:r w:rsidRPr="001229E6">
        <w:rPr>
          <w:rStyle w:val="a7"/>
          <w:rFonts w:ascii="仿宋" w:eastAsia="仿宋" w:hAnsi="仿宋" w:hint="eastAsia"/>
          <w:i w:val="0"/>
          <w:color w:val="auto"/>
          <w:sz w:val="32"/>
          <w:szCs w:val="32"/>
        </w:rPr>
        <w:lastRenderedPageBreak/>
        <w:t>格考试相关工作及估价机构与土地估价专业人员备案与不动产登记代理机构登记服务工作。</w:t>
      </w:r>
    </w:p>
    <w:p w:rsidR="00C723D6" w:rsidRPr="001229E6" w:rsidRDefault="00C723D6" w:rsidP="00C723D6">
      <w:pPr>
        <w:spacing w:line="600" w:lineRule="exact"/>
        <w:ind w:firstLineChars="200" w:firstLine="640"/>
        <w:rPr>
          <w:rStyle w:val="a7"/>
          <w:rFonts w:ascii="仿宋" w:eastAsia="仿宋" w:hAnsi="仿宋"/>
          <w:i w:val="0"/>
          <w:color w:val="auto"/>
          <w:sz w:val="32"/>
          <w:szCs w:val="32"/>
        </w:rPr>
      </w:pPr>
      <w:r w:rsidRPr="001229E6">
        <w:rPr>
          <w:rStyle w:val="a7"/>
          <w:rFonts w:ascii="仿宋" w:eastAsia="仿宋" w:hAnsi="仿宋" w:hint="eastAsia"/>
          <w:i w:val="0"/>
          <w:color w:val="auto"/>
          <w:sz w:val="32"/>
          <w:szCs w:val="32"/>
        </w:rPr>
        <w:t>3、按照中估协核准我省2024年土地估价师与土地登记</w:t>
      </w:r>
    </w:p>
    <w:p w:rsidR="00C723D6" w:rsidRPr="001229E6" w:rsidRDefault="00C723D6" w:rsidP="00C723D6">
      <w:pPr>
        <w:spacing w:line="600" w:lineRule="exact"/>
        <w:ind w:firstLineChars="200" w:firstLine="640"/>
        <w:rPr>
          <w:rStyle w:val="a7"/>
          <w:rFonts w:ascii="仿宋" w:eastAsia="仿宋" w:hAnsi="仿宋"/>
          <w:i w:val="0"/>
          <w:color w:val="auto"/>
          <w:sz w:val="32"/>
          <w:szCs w:val="32"/>
        </w:rPr>
      </w:pPr>
      <w:r w:rsidRPr="001229E6">
        <w:rPr>
          <w:rStyle w:val="a7"/>
          <w:rFonts w:ascii="仿宋" w:eastAsia="仿宋" w:hAnsi="仿宋" w:hint="eastAsia"/>
          <w:i w:val="0"/>
          <w:color w:val="auto"/>
          <w:sz w:val="32"/>
          <w:szCs w:val="32"/>
        </w:rPr>
        <w:t>代理人继续教育培训计划，搞好我省土地估价专业人员、土地登记代理人员的继续教育培训。</w:t>
      </w:r>
    </w:p>
    <w:p w:rsidR="00C723D6" w:rsidRPr="001229E6" w:rsidRDefault="00C723D6" w:rsidP="00C723D6">
      <w:pPr>
        <w:spacing w:line="600" w:lineRule="exact"/>
        <w:ind w:firstLineChars="200" w:firstLine="640"/>
        <w:rPr>
          <w:rStyle w:val="a7"/>
          <w:rFonts w:ascii="仿宋" w:eastAsia="仿宋" w:hAnsi="仿宋"/>
          <w:i w:val="0"/>
          <w:color w:val="auto"/>
          <w:sz w:val="32"/>
          <w:szCs w:val="32"/>
        </w:rPr>
      </w:pPr>
      <w:r w:rsidRPr="001229E6">
        <w:rPr>
          <w:rStyle w:val="a7"/>
          <w:rFonts w:ascii="仿宋" w:eastAsia="仿宋" w:hAnsi="仿宋" w:hint="eastAsia"/>
          <w:i w:val="0"/>
          <w:color w:val="auto"/>
          <w:sz w:val="32"/>
          <w:szCs w:val="32"/>
        </w:rPr>
        <w:t>4、组织有关专家进行1—</w:t>
      </w:r>
      <w:r w:rsidRPr="001229E6">
        <w:rPr>
          <w:rStyle w:val="a7"/>
          <w:rFonts w:ascii="仿宋" w:eastAsia="仿宋" w:hAnsi="仿宋"/>
          <w:i w:val="0"/>
          <w:color w:val="auto"/>
          <w:sz w:val="32"/>
          <w:szCs w:val="32"/>
        </w:rPr>
        <w:t>2</w:t>
      </w:r>
      <w:r w:rsidRPr="001229E6">
        <w:rPr>
          <w:rStyle w:val="a7"/>
          <w:rFonts w:ascii="仿宋" w:eastAsia="仿宋" w:hAnsi="仿宋" w:hint="eastAsia"/>
          <w:i w:val="0"/>
          <w:color w:val="auto"/>
          <w:sz w:val="32"/>
          <w:szCs w:val="32"/>
        </w:rPr>
        <w:t>土地估价报告抽查评审工作。</w:t>
      </w:r>
    </w:p>
    <w:p w:rsidR="00C723D6" w:rsidRPr="001229E6" w:rsidRDefault="00C723D6" w:rsidP="00C723D6">
      <w:pPr>
        <w:spacing w:line="600" w:lineRule="exact"/>
        <w:ind w:firstLineChars="200" w:firstLine="640"/>
        <w:rPr>
          <w:rStyle w:val="a7"/>
          <w:rFonts w:ascii="仿宋" w:eastAsia="仿宋" w:hAnsi="仿宋"/>
          <w:i w:val="0"/>
          <w:color w:val="auto"/>
          <w:sz w:val="32"/>
          <w:szCs w:val="32"/>
        </w:rPr>
      </w:pPr>
      <w:r w:rsidRPr="001229E6">
        <w:rPr>
          <w:rStyle w:val="a7"/>
          <w:rFonts w:ascii="仿宋" w:eastAsia="仿宋" w:hAnsi="仿宋" w:hint="eastAsia"/>
          <w:i w:val="0"/>
          <w:color w:val="auto"/>
          <w:sz w:val="32"/>
          <w:szCs w:val="32"/>
        </w:rPr>
        <w:t>5、开展学术探讨和课题研究，形成理论学习钻研浓厚氛围。组织完成《采取一种土地评估方法适用研究》课题；研究制定我省《土地估价报告技术审裁指导意见》。同时，视情况可分南北两片分别召开小型沙龙式座谈会、研讨会、或者执业经验交流会等，对在执业实践中发现的有关问题集思广益，建言献策。</w:t>
      </w:r>
    </w:p>
    <w:p w:rsidR="00C723D6" w:rsidRPr="001229E6" w:rsidRDefault="00C723D6" w:rsidP="00C723D6">
      <w:pPr>
        <w:spacing w:line="600" w:lineRule="exact"/>
        <w:ind w:firstLineChars="200" w:firstLine="640"/>
        <w:rPr>
          <w:rStyle w:val="a7"/>
          <w:rFonts w:ascii="仿宋" w:eastAsia="仿宋" w:hAnsi="仿宋"/>
          <w:i w:val="0"/>
          <w:color w:val="auto"/>
          <w:sz w:val="32"/>
          <w:szCs w:val="32"/>
        </w:rPr>
      </w:pPr>
      <w:r w:rsidRPr="001229E6">
        <w:rPr>
          <w:rStyle w:val="a7"/>
          <w:rFonts w:ascii="仿宋" w:eastAsia="仿宋" w:hAnsi="仿宋" w:hint="eastAsia"/>
          <w:i w:val="0"/>
          <w:color w:val="auto"/>
          <w:sz w:val="32"/>
          <w:szCs w:val="32"/>
        </w:rPr>
        <w:t>6、组织开展机构诚信达标活动，提高行业的社会公信力。今年是我会五年工作规划的“诚信达标推动年”，要开展《土地估价与登记代理机构诚信达标的理论与方法研究》。组织有关人员赴已开展此项活动的兄弟省协会考察取经，学习经验，制定实施方案，出台信用等级评定等级管理办法，以此规范机构从业行为，加强行业自律管理和行业监督。开展此项活动不收取任何费用，所有费用由协会支出。</w:t>
      </w:r>
    </w:p>
    <w:p w:rsidR="00C723D6" w:rsidRPr="001229E6" w:rsidRDefault="00C723D6" w:rsidP="00C723D6">
      <w:pPr>
        <w:spacing w:line="600" w:lineRule="exact"/>
        <w:ind w:firstLineChars="200" w:firstLine="640"/>
        <w:rPr>
          <w:rStyle w:val="a7"/>
          <w:rFonts w:ascii="仿宋" w:eastAsia="仿宋" w:hAnsi="仿宋"/>
          <w:i w:val="0"/>
          <w:color w:val="auto"/>
          <w:sz w:val="32"/>
          <w:szCs w:val="32"/>
        </w:rPr>
      </w:pPr>
      <w:r w:rsidRPr="001229E6">
        <w:rPr>
          <w:rStyle w:val="a7"/>
          <w:rFonts w:ascii="仿宋" w:eastAsia="仿宋" w:hAnsi="仿宋" w:hint="eastAsia"/>
          <w:i w:val="0"/>
          <w:color w:val="auto"/>
          <w:sz w:val="32"/>
          <w:szCs w:val="32"/>
        </w:rPr>
        <w:t>7、深入基层调查研究，帮助解决困难问题。驻会领导和工作人员要尽可能抽出时间下基层调查研究，全年要对不少于1/3的机构具体调研考察，总结经验，掌握动态，发现问题及时解决。依法维护会员合法权益。</w:t>
      </w:r>
    </w:p>
    <w:p w:rsidR="00C723D6" w:rsidRPr="001229E6" w:rsidRDefault="00C723D6" w:rsidP="00C723D6">
      <w:pPr>
        <w:ind w:firstLineChars="200" w:firstLine="640"/>
        <w:rPr>
          <w:rStyle w:val="a7"/>
          <w:rFonts w:ascii="仿宋" w:eastAsia="仿宋" w:hAnsi="仿宋"/>
          <w:i w:val="0"/>
          <w:color w:val="auto"/>
          <w:sz w:val="32"/>
          <w:szCs w:val="32"/>
        </w:rPr>
      </w:pPr>
      <w:r w:rsidRPr="001229E6">
        <w:rPr>
          <w:rStyle w:val="a7"/>
          <w:rFonts w:ascii="仿宋" w:eastAsia="仿宋" w:hAnsi="仿宋" w:hint="eastAsia"/>
          <w:i w:val="0"/>
          <w:color w:val="auto"/>
          <w:sz w:val="32"/>
          <w:szCs w:val="32"/>
        </w:rPr>
        <w:lastRenderedPageBreak/>
        <w:t>8、加强协会内部治理，强化行为管理和行风培养。弥补去年工作欠账，对协会以往出台的所有制度进行清理、筛选、补充、完善，建立健全新的规章制度，装订成册，便于贯彻执行。做到各项工作，有章可循，有据可查，分工明确，履职尽责，规范运作。筹办协会《会讯》，宣传政策，交流信息，通报情况，指导工作。推介新技术，新理念，新成果。</w:t>
      </w:r>
    </w:p>
    <w:p w:rsidR="00C723D6" w:rsidRPr="001229E6" w:rsidRDefault="00C723D6" w:rsidP="00C723D6">
      <w:pPr>
        <w:ind w:firstLineChars="200" w:firstLine="640"/>
        <w:rPr>
          <w:rStyle w:val="a7"/>
          <w:rFonts w:ascii="仿宋" w:eastAsia="仿宋" w:hAnsi="仿宋"/>
          <w:i w:val="0"/>
          <w:color w:val="auto"/>
          <w:sz w:val="32"/>
          <w:szCs w:val="32"/>
        </w:rPr>
      </w:pPr>
      <w:r w:rsidRPr="001229E6">
        <w:rPr>
          <w:rStyle w:val="a7"/>
          <w:rFonts w:ascii="仿宋" w:eastAsia="仿宋" w:hAnsi="仿宋" w:hint="eastAsia"/>
          <w:i w:val="0"/>
          <w:color w:val="auto"/>
          <w:sz w:val="32"/>
          <w:szCs w:val="32"/>
        </w:rPr>
        <w:t>9、着眼行业长远发展，积极培养新生力量。我会经第四届会员代表大会换届后，领导成员明显年轻化。但从行业长远发展考虑，对新任的负责人要加强培养，进行传帮带，尽快提高组织领导能力和驾驭全局的工作能力。同时结合协会内部实际情况，对个别领导成员分工进行适当调整，为一些岗位补充力量，做到人员齐整，常态运行，生机蓬勃，效能提高。</w:t>
      </w:r>
    </w:p>
    <w:p w:rsidR="00C723D6" w:rsidRPr="001229E6" w:rsidRDefault="00C723D6" w:rsidP="00C723D6">
      <w:pPr>
        <w:ind w:firstLineChars="200" w:firstLine="640"/>
        <w:rPr>
          <w:rStyle w:val="a7"/>
          <w:rFonts w:ascii="仿宋" w:eastAsia="仿宋" w:hAnsi="仿宋"/>
          <w:i w:val="0"/>
          <w:color w:val="auto"/>
          <w:sz w:val="32"/>
          <w:szCs w:val="32"/>
        </w:rPr>
      </w:pPr>
      <w:r w:rsidRPr="001229E6">
        <w:rPr>
          <w:rStyle w:val="a7"/>
          <w:rFonts w:ascii="仿宋" w:eastAsia="仿宋" w:hAnsi="仿宋"/>
          <w:i w:val="0"/>
          <w:color w:val="auto"/>
          <w:sz w:val="32"/>
          <w:szCs w:val="32"/>
        </w:rPr>
        <w:t>10</w:t>
      </w:r>
      <w:r w:rsidRPr="001229E6">
        <w:rPr>
          <w:rStyle w:val="a7"/>
          <w:rFonts w:ascii="仿宋" w:eastAsia="仿宋" w:hAnsi="仿宋" w:hint="eastAsia"/>
          <w:i w:val="0"/>
          <w:color w:val="auto"/>
          <w:sz w:val="32"/>
          <w:szCs w:val="32"/>
        </w:rPr>
        <w:t>、完成省自然资源厅、省民政厅、中估协及有关行政、司法部门交办与委托的相关事宜。</w:t>
      </w:r>
    </w:p>
    <w:p w:rsidR="00C723D6" w:rsidRPr="001229E6" w:rsidRDefault="00C723D6" w:rsidP="00C723D6">
      <w:pPr>
        <w:ind w:firstLineChars="200" w:firstLine="640"/>
        <w:rPr>
          <w:rStyle w:val="a7"/>
          <w:rFonts w:ascii="仿宋" w:eastAsia="仿宋" w:hAnsi="仿宋"/>
          <w:i w:val="0"/>
          <w:color w:val="auto"/>
          <w:sz w:val="32"/>
          <w:szCs w:val="32"/>
        </w:rPr>
      </w:pPr>
    </w:p>
    <w:p w:rsidR="00C723D6" w:rsidRPr="001229E6" w:rsidRDefault="00C723D6" w:rsidP="00C723D6">
      <w:pPr>
        <w:ind w:firstLineChars="200" w:firstLine="640"/>
        <w:rPr>
          <w:rStyle w:val="a7"/>
          <w:rFonts w:ascii="仿宋" w:eastAsia="仿宋" w:hAnsi="仿宋"/>
          <w:i w:val="0"/>
          <w:color w:val="auto"/>
          <w:sz w:val="32"/>
          <w:szCs w:val="32"/>
        </w:rPr>
      </w:pPr>
    </w:p>
    <w:p w:rsidR="00C723D6" w:rsidRPr="001229E6" w:rsidRDefault="00C723D6" w:rsidP="00C723D6">
      <w:pPr>
        <w:ind w:firstLineChars="1400" w:firstLine="4480"/>
        <w:rPr>
          <w:rStyle w:val="a7"/>
          <w:rFonts w:ascii="仿宋" w:eastAsia="仿宋" w:hAnsi="仿宋"/>
          <w:i w:val="0"/>
          <w:color w:val="auto"/>
          <w:sz w:val="32"/>
          <w:szCs w:val="32"/>
        </w:rPr>
      </w:pPr>
      <w:r w:rsidRPr="001229E6">
        <w:rPr>
          <w:rStyle w:val="a7"/>
          <w:rFonts w:ascii="仿宋" w:eastAsia="仿宋" w:hAnsi="仿宋" w:hint="eastAsia"/>
          <w:i w:val="0"/>
          <w:color w:val="auto"/>
          <w:sz w:val="32"/>
          <w:szCs w:val="32"/>
        </w:rPr>
        <w:t xml:space="preserve"> 2024年3月2</w:t>
      </w:r>
      <w:r w:rsidRPr="001229E6">
        <w:rPr>
          <w:rStyle w:val="a7"/>
          <w:rFonts w:ascii="仿宋" w:eastAsia="仿宋" w:hAnsi="仿宋"/>
          <w:i w:val="0"/>
          <w:color w:val="auto"/>
          <w:sz w:val="32"/>
          <w:szCs w:val="32"/>
        </w:rPr>
        <w:t>9</w:t>
      </w:r>
      <w:r w:rsidRPr="001229E6">
        <w:rPr>
          <w:rStyle w:val="a7"/>
          <w:rFonts w:ascii="仿宋" w:eastAsia="仿宋" w:hAnsi="仿宋" w:hint="eastAsia"/>
          <w:i w:val="0"/>
          <w:color w:val="auto"/>
          <w:sz w:val="32"/>
          <w:szCs w:val="32"/>
        </w:rPr>
        <w:t>日</w:t>
      </w:r>
    </w:p>
    <w:p w:rsidR="00C723D6" w:rsidRPr="001229E6" w:rsidRDefault="00C723D6" w:rsidP="00C723D6">
      <w:pPr>
        <w:ind w:firstLineChars="200" w:firstLine="640"/>
        <w:rPr>
          <w:rStyle w:val="a7"/>
          <w:i w:val="0"/>
          <w:color w:val="auto"/>
          <w:sz w:val="32"/>
          <w:szCs w:val="32"/>
        </w:rPr>
      </w:pPr>
    </w:p>
    <w:p w:rsidR="00C723D6" w:rsidRPr="001229E6" w:rsidRDefault="00C723D6" w:rsidP="00C723D6">
      <w:pPr>
        <w:ind w:firstLineChars="200" w:firstLine="640"/>
        <w:rPr>
          <w:rStyle w:val="a7"/>
          <w:i w:val="0"/>
          <w:color w:val="auto"/>
          <w:sz w:val="32"/>
          <w:szCs w:val="32"/>
        </w:rPr>
      </w:pPr>
    </w:p>
    <w:p w:rsidR="00C723D6" w:rsidRPr="001229E6" w:rsidRDefault="00C723D6" w:rsidP="00C723D6">
      <w:pPr>
        <w:ind w:firstLineChars="200" w:firstLine="640"/>
        <w:rPr>
          <w:rStyle w:val="a7"/>
          <w:i w:val="0"/>
          <w:color w:val="auto"/>
          <w:sz w:val="32"/>
          <w:szCs w:val="32"/>
        </w:rPr>
      </w:pPr>
    </w:p>
    <w:p w:rsidR="001D7FE1" w:rsidRDefault="001D7FE1"/>
    <w:sectPr w:rsidR="001D7F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934" w:rsidRDefault="002C6934" w:rsidP="00C723D6">
      <w:r>
        <w:separator/>
      </w:r>
    </w:p>
  </w:endnote>
  <w:endnote w:type="continuationSeparator" w:id="0">
    <w:p w:rsidR="002C6934" w:rsidRDefault="002C6934" w:rsidP="00C7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934" w:rsidRDefault="002C6934" w:rsidP="00C723D6">
      <w:r>
        <w:separator/>
      </w:r>
    </w:p>
  </w:footnote>
  <w:footnote w:type="continuationSeparator" w:id="0">
    <w:p w:rsidR="002C6934" w:rsidRDefault="002C6934" w:rsidP="00C72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97B"/>
    <w:rsid w:val="001D7FE1"/>
    <w:rsid w:val="002C6934"/>
    <w:rsid w:val="006D45D7"/>
    <w:rsid w:val="009D197B"/>
    <w:rsid w:val="00C723D6"/>
    <w:rsid w:val="00E36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8875D"/>
  <w15:chartTrackingRefBased/>
  <w15:docId w15:val="{285018BD-C8EA-4FFF-AD87-54E27396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3D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23D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723D6"/>
    <w:rPr>
      <w:sz w:val="18"/>
      <w:szCs w:val="18"/>
    </w:rPr>
  </w:style>
  <w:style w:type="paragraph" w:styleId="a5">
    <w:name w:val="footer"/>
    <w:basedOn w:val="a"/>
    <w:link w:val="a6"/>
    <w:uiPriority w:val="99"/>
    <w:unhideWhenUsed/>
    <w:rsid w:val="00C723D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723D6"/>
    <w:rPr>
      <w:sz w:val="18"/>
      <w:szCs w:val="18"/>
    </w:rPr>
  </w:style>
  <w:style w:type="character" w:styleId="a7">
    <w:name w:val="Subtle Emphasis"/>
    <w:uiPriority w:val="19"/>
    <w:qFormat/>
    <w:rsid w:val="00C723D6"/>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198</Words>
  <Characters>1129</Characters>
  <Application>Microsoft Office Word</Application>
  <DocSecurity>0</DocSecurity>
  <Lines>9</Lines>
  <Paragraphs>2</Paragraphs>
  <ScaleCrop>false</ScaleCrop>
  <Company>Organization</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2024-04-01T03:11:00Z</dcterms:created>
  <dcterms:modified xsi:type="dcterms:W3CDTF">2024-04-01T03:19:00Z</dcterms:modified>
</cp:coreProperties>
</file>